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B" w:rsidRDefault="00F43B0B" w:rsidP="00F43B0B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Marijampolės greitųjų šaškių (100) pirmenybės</w:t>
      </w:r>
    </w:p>
    <w:p w:rsidR="00F43B0B" w:rsidRDefault="00F43B0B" w:rsidP="00F43B0B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2013 03 09</w:t>
      </w:r>
    </w:p>
    <w:p w:rsidR="00F43B0B" w:rsidRPr="00F43B0B" w:rsidRDefault="00F43B0B" w:rsidP="00FB613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71601" w:rsidRPr="00F43B0B" w:rsidRDefault="00F43B0B" w:rsidP="00FB6136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Vieta</w:t>
      </w:r>
      <w:r w:rsidRPr="00F43B0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Pavardė, Vardas</w:t>
      </w:r>
      <w:r w:rsidRPr="00F43B0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  <w:t>Atsk</w:t>
      </w:r>
      <w:r>
        <w:rPr>
          <w:rFonts w:ascii="Courier New" w:hAnsi="Courier New" w:cs="Courier New"/>
          <w:sz w:val="24"/>
          <w:szCs w:val="24"/>
        </w:rPr>
        <w:tab/>
        <w:t>Taškai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1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2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3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4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5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6  </w:t>
      </w:r>
      <w:r w:rsidR="00E71601" w:rsidRPr="00F43B0B">
        <w:rPr>
          <w:rFonts w:ascii="Courier New" w:hAnsi="Courier New" w:cs="Courier New"/>
          <w:sz w:val="24"/>
          <w:szCs w:val="24"/>
        </w:rPr>
        <w:tab/>
        <w:t xml:space="preserve"> 7  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1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Domarkas, Audrius 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6.5  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7:1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2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Domarkas, Rytis   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5.5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8:½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3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Miliauskaitė, Paulina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5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4:1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9:1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4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Bačkieriūtė, Monika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4.5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6:1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5:1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5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Labutis, Augustinas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3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4:0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6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Kederys, Almantas 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3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7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Narkevičius, Denas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IV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2.5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9:1</w:t>
      </w:r>
      <w:r w:rsidRPr="00F43B0B">
        <w:rPr>
          <w:rFonts w:ascii="Courier New" w:hAnsi="Courier New" w:cs="Courier New"/>
          <w:sz w:val="24"/>
          <w:szCs w:val="24"/>
        </w:rPr>
        <w:tab/>
        <w:t>10:½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8 </w:t>
      </w:r>
      <w:r w:rsidRPr="00F43B0B">
        <w:rPr>
          <w:rFonts w:ascii="Courier New" w:hAnsi="Courier New" w:cs="Courier New"/>
          <w:sz w:val="24"/>
          <w:szCs w:val="24"/>
        </w:rPr>
        <w:tab/>
        <w:t>Vidzikauskas, Albredas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2.5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6:0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2:½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 xml:space="preserve">9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Šalaševičius, Vaidas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III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2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8:0</w:t>
      </w:r>
      <w:r w:rsidRPr="00F43B0B">
        <w:rPr>
          <w:rFonts w:ascii="Courier New" w:hAnsi="Courier New" w:cs="Courier New"/>
          <w:sz w:val="24"/>
          <w:szCs w:val="24"/>
        </w:rPr>
        <w:tab/>
        <w:t>10:1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2:0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5:1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3:0</w:t>
      </w:r>
    </w:p>
    <w:p w:rsidR="00E71601" w:rsidRPr="00F43B0B" w:rsidRDefault="00E71601" w:rsidP="00FB6136">
      <w:pPr>
        <w:pStyle w:val="PlainText"/>
        <w:rPr>
          <w:rFonts w:ascii="Courier New" w:hAnsi="Courier New" w:cs="Courier New"/>
          <w:sz w:val="24"/>
          <w:szCs w:val="24"/>
        </w:rPr>
      </w:pPr>
      <w:r w:rsidRPr="00F43B0B">
        <w:rPr>
          <w:rFonts w:ascii="Courier New" w:hAnsi="Courier New" w:cs="Courier New"/>
          <w:sz w:val="24"/>
          <w:szCs w:val="24"/>
        </w:rPr>
        <w:t>10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Narkevičius, Domas 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IV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.5   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1:0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3:0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7:½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9:0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4:0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8:0</w:t>
      </w:r>
      <w:r w:rsidRPr="00F43B0B">
        <w:rPr>
          <w:rFonts w:ascii="Courier New" w:hAnsi="Courier New" w:cs="Courier New"/>
          <w:sz w:val="24"/>
          <w:szCs w:val="24"/>
        </w:rPr>
        <w:tab/>
        <w:t xml:space="preserve"> 6:0</w:t>
      </w:r>
    </w:p>
    <w:sectPr w:rsidR="00E71601" w:rsidRPr="00F43B0B" w:rsidSect="00F43B0B">
      <w:pgSz w:w="16838" w:h="11906" w:orient="landscape" w:code="9"/>
      <w:pgMar w:top="1334" w:right="1701" w:bottom="1335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396"/>
  <w:drawingGridHorizontalSpacing w:val="110"/>
  <w:displayHorizontalDrawingGridEvery w:val="2"/>
  <w:characterSpacingControl w:val="doNotCompress"/>
  <w:compat/>
  <w:rsids>
    <w:rsidRoot w:val="00E35488"/>
    <w:rsid w:val="004C2105"/>
    <w:rsid w:val="00E35488"/>
    <w:rsid w:val="00E71601"/>
    <w:rsid w:val="00F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61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1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2013-03-09T17:20:00Z</dcterms:created>
  <dcterms:modified xsi:type="dcterms:W3CDTF">2013-03-09T17:20:00Z</dcterms:modified>
</cp:coreProperties>
</file>